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C734C5">
      <w:pPr>
        <w:spacing w:line="360" w:lineRule="auto"/>
        <w:ind w:firstLine="480" w:firstLineChars="200"/>
        <w:rPr>
          <w:rFonts w:ascii="Times New Roman" w:hAnsi="Times New Roman" w:eastAsia="宋体" w:cs="Times New Roman"/>
          <w:b/>
          <w:bCs/>
          <w:sz w:val="24"/>
        </w:rPr>
      </w:pPr>
      <w:r>
        <w:rPr>
          <w:rFonts w:hint="eastAsia" w:ascii="Times New Roman" w:hAnsi="Times New Roman" w:eastAsia="宋体" w:cs="Times New Roman"/>
          <w:b/>
          <w:bCs/>
          <w:sz w:val="24"/>
        </w:rPr>
        <w:t>一、临床指标检测项目清单</w:t>
      </w:r>
    </w:p>
    <w:tbl>
      <w:tblPr>
        <w:tblStyle w:val="2"/>
        <w:tblpPr w:leftFromText="180" w:rightFromText="180" w:vertAnchor="text" w:horzAnchor="margin" w:tblpXSpec="center" w:tblpY="260"/>
        <w:tblOverlap w:val="never"/>
        <w:tblW w:w="7905" w:type="dxa"/>
        <w:tblInd w:w="0" w:type="dxa"/>
        <w:tblLayout w:type="autofit"/>
        <w:tblCellMar>
          <w:top w:w="0" w:type="dxa"/>
          <w:left w:w="108" w:type="dxa"/>
          <w:bottom w:w="0" w:type="dxa"/>
          <w:right w:w="108" w:type="dxa"/>
        </w:tblCellMar>
      </w:tblPr>
      <w:tblGrid>
        <w:gridCol w:w="1027"/>
        <w:gridCol w:w="3050"/>
        <w:gridCol w:w="2268"/>
        <w:gridCol w:w="1560"/>
      </w:tblGrid>
      <w:tr w14:paraId="5AB133B6">
        <w:trPr>
          <w:trHeight w:val="640" w:hRule="atLeast"/>
        </w:trPr>
        <w:tc>
          <w:tcPr>
            <w:tcW w:w="1027" w:type="dxa"/>
            <w:tcBorders>
              <w:top w:val="single" w:color="000000" w:sz="4" w:space="0"/>
              <w:left w:val="single" w:color="000000" w:sz="4" w:space="0"/>
              <w:bottom w:val="single" w:color="000000" w:sz="4" w:space="0"/>
              <w:right w:val="single" w:color="000000" w:sz="4" w:space="0"/>
            </w:tcBorders>
            <w:vAlign w:val="center"/>
          </w:tcPr>
          <w:p w14:paraId="0B85B9DC">
            <w:pPr>
              <w:widowControl/>
              <w:jc w:val="center"/>
              <w:textAlignment w:val="top"/>
              <w:rPr>
                <w:rFonts w:ascii="Times New Roman" w:hAnsi="Times New Roman" w:cs="Times New Roman"/>
                <w:b/>
                <w:bCs/>
                <w:color w:val="000000"/>
                <w:sz w:val="24"/>
              </w:rPr>
            </w:pPr>
            <w:r>
              <w:rPr>
                <w:rFonts w:ascii="Times New Roman" w:hAnsi="Times New Roman" w:cs="Times New Roman"/>
                <w:b/>
                <w:bCs/>
                <w:color w:val="000000"/>
                <w:kern w:val="0"/>
                <w:sz w:val="24"/>
                <w:lang w:bidi="ar"/>
              </w:rPr>
              <w:t>序号</w:t>
            </w:r>
          </w:p>
        </w:tc>
        <w:tc>
          <w:tcPr>
            <w:tcW w:w="3050" w:type="dxa"/>
            <w:tcBorders>
              <w:top w:val="single" w:color="000000" w:sz="4" w:space="0"/>
              <w:left w:val="single" w:color="000000" w:sz="4" w:space="0"/>
              <w:bottom w:val="single" w:color="000000" w:sz="4" w:space="0"/>
              <w:right w:val="single" w:color="000000" w:sz="4" w:space="0"/>
            </w:tcBorders>
            <w:vAlign w:val="center"/>
          </w:tcPr>
          <w:p w14:paraId="2437EE7C">
            <w:pPr>
              <w:widowControl/>
              <w:jc w:val="center"/>
              <w:textAlignment w:val="top"/>
              <w:rPr>
                <w:rFonts w:ascii="Times New Roman" w:hAnsi="Times New Roman" w:cs="Times New Roman"/>
                <w:b/>
                <w:bCs/>
                <w:color w:val="000000"/>
                <w:sz w:val="24"/>
              </w:rPr>
            </w:pPr>
            <w:r>
              <w:rPr>
                <w:rFonts w:ascii="Times New Roman" w:hAnsi="Times New Roman" w:cs="Times New Roman"/>
                <w:b/>
                <w:bCs/>
                <w:color w:val="000000"/>
                <w:kern w:val="0"/>
                <w:sz w:val="24"/>
                <w:lang w:bidi="ar"/>
              </w:rPr>
              <w:t>检测项目</w:t>
            </w:r>
          </w:p>
        </w:tc>
        <w:tc>
          <w:tcPr>
            <w:tcW w:w="2268" w:type="dxa"/>
            <w:tcBorders>
              <w:top w:val="single" w:color="000000" w:sz="4" w:space="0"/>
              <w:left w:val="single" w:color="000000" w:sz="4" w:space="0"/>
              <w:bottom w:val="single" w:color="000000" w:sz="4" w:space="0"/>
              <w:right w:val="single" w:color="000000" w:sz="4" w:space="0"/>
            </w:tcBorders>
            <w:vAlign w:val="center"/>
          </w:tcPr>
          <w:p w14:paraId="10C4E26B">
            <w:pPr>
              <w:widowControl/>
              <w:jc w:val="center"/>
              <w:textAlignment w:val="top"/>
              <w:rPr>
                <w:rFonts w:ascii="Times New Roman" w:hAnsi="Times New Roman" w:cs="Times New Roman"/>
                <w:b/>
                <w:bCs/>
                <w:color w:val="000000"/>
                <w:sz w:val="24"/>
              </w:rPr>
            </w:pPr>
            <w:r>
              <w:rPr>
                <w:rFonts w:ascii="Times New Roman" w:hAnsi="Times New Roman" w:cs="Times New Roman"/>
                <w:b/>
                <w:bCs/>
                <w:color w:val="000000"/>
                <w:kern w:val="0"/>
                <w:sz w:val="24"/>
                <w:lang w:bidi="ar"/>
              </w:rPr>
              <w:t>数量</w:t>
            </w:r>
          </w:p>
        </w:tc>
        <w:tc>
          <w:tcPr>
            <w:tcW w:w="1560" w:type="dxa"/>
            <w:tcBorders>
              <w:top w:val="single" w:color="000000" w:sz="4" w:space="0"/>
              <w:left w:val="single" w:color="000000" w:sz="4" w:space="0"/>
              <w:bottom w:val="single" w:color="000000" w:sz="4" w:space="0"/>
              <w:right w:val="single" w:color="000000" w:sz="4" w:space="0"/>
            </w:tcBorders>
            <w:vAlign w:val="center"/>
          </w:tcPr>
          <w:p w14:paraId="6C2ECE67">
            <w:pPr>
              <w:widowControl/>
              <w:jc w:val="center"/>
              <w:textAlignment w:val="top"/>
              <w:rPr>
                <w:rFonts w:ascii="Times New Roman" w:hAnsi="Times New Roman" w:cs="Times New Roman"/>
                <w:b/>
                <w:bCs/>
                <w:color w:val="000000"/>
                <w:sz w:val="24"/>
              </w:rPr>
            </w:pPr>
            <w:r>
              <w:rPr>
                <w:rFonts w:ascii="Times New Roman" w:hAnsi="Times New Roman" w:cs="Times New Roman"/>
                <w:b/>
                <w:bCs/>
                <w:color w:val="000000"/>
                <w:kern w:val="0"/>
                <w:sz w:val="24"/>
                <w:lang w:bidi="ar"/>
              </w:rPr>
              <w:t>预算（元）</w:t>
            </w:r>
          </w:p>
        </w:tc>
      </w:tr>
      <w:tr w14:paraId="06EF9FDD">
        <w:trPr>
          <w:trHeight w:val="610" w:hRule="atLeast"/>
        </w:trPr>
        <w:tc>
          <w:tcPr>
            <w:tcW w:w="1027" w:type="dxa"/>
            <w:tcBorders>
              <w:top w:val="single" w:color="000000" w:sz="4" w:space="0"/>
              <w:left w:val="single" w:color="000000" w:sz="4" w:space="0"/>
              <w:bottom w:val="single" w:color="000000" w:sz="4" w:space="0"/>
              <w:right w:val="single" w:color="000000" w:sz="4" w:space="0"/>
            </w:tcBorders>
            <w:vAlign w:val="center"/>
          </w:tcPr>
          <w:p w14:paraId="5B19B557">
            <w:pPr>
              <w:widowControl/>
              <w:jc w:val="center"/>
              <w:textAlignment w:val="top"/>
              <w:rPr>
                <w:rFonts w:ascii="Times New Roman" w:hAnsi="Times New Roman" w:cs="Times New Roman"/>
                <w:color w:val="000000"/>
                <w:sz w:val="24"/>
              </w:rPr>
            </w:pPr>
            <w:r>
              <w:rPr>
                <w:rFonts w:ascii="Times New Roman" w:hAnsi="Times New Roman" w:cs="Times New Roman"/>
                <w:color w:val="000000"/>
                <w:kern w:val="0"/>
                <w:sz w:val="24"/>
                <w:lang w:bidi="ar"/>
              </w:rPr>
              <w:t>1</w:t>
            </w:r>
          </w:p>
        </w:tc>
        <w:tc>
          <w:tcPr>
            <w:tcW w:w="3050" w:type="dxa"/>
            <w:tcBorders>
              <w:top w:val="single" w:color="000000" w:sz="4" w:space="0"/>
              <w:left w:val="single" w:color="000000" w:sz="4" w:space="0"/>
              <w:bottom w:val="single" w:color="000000" w:sz="4" w:space="0"/>
              <w:right w:val="single" w:color="000000" w:sz="4" w:space="0"/>
            </w:tcBorders>
            <w:vAlign w:val="center"/>
          </w:tcPr>
          <w:p w14:paraId="5BD5EF3E">
            <w:pPr>
              <w:widowControl/>
              <w:jc w:val="center"/>
              <w:textAlignment w:val="top"/>
              <w:rPr>
                <w:rFonts w:ascii="Times New Roman" w:hAnsi="Times New Roman" w:cs="Times New Roman"/>
                <w:color w:val="000000"/>
                <w:kern w:val="0"/>
                <w:sz w:val="24"/>
                <w:lang w:bidi="ar"/>
              </w:rPr>
            </w:pPr>
            <w:r>
              <w:rPr>
                <w:rFonts w:ascii="Times New Roman" w:hAnsi="Times New Roman" w:cs="Times New Roman"/>
                <w:bCs/>
                <w:sz w:val="24"/>
              </w:rPr>
              <w:t>软骨寡聚基质蛋白（COMP）</w:t>
            </w:r>
          </w:p>
        </w:tc>
        <w:tc>
          <w:tcPr>
            <w:tcW w:w="2268" w:type="dxa"/>
            <w:tcBorders>
              <w:top w:val="single" w:color="000000" w:sz="4" w:space="0"/>
              <w:left w:val="single" w:color="000000" w:sz="4" w:space="0"/>
              <w:bottom w:val="single" w:color="000000" w:sz="4" w:space="0"/>
              <w:right w:val="single" w:color="000000" w:sz="4" w:space="0"/>
            </w:tcBorders>
            <w:vAlign w:val="center"/>
          </w:tcPr>
          <w:p w14:paraId="39480D51">
            <w:pPr>
              <w:jc w:val="center"/>
              <w:rPr>
                <w:rFonts w:ascii="Times New Roman" w:hAnsi="Times New Roman" w:cs="Times New Roman"/>
                <w:bCs/>
                <w:color w:val="000000"/>
                <w:sz w:val="24"/>
              </w:rPr>
            </w:pPr>
            <w:r>
              <w:rPr>
                <w:rFonts w:hint="eastAsia" w:ascii="Times New Roman" w:hAnsi="Times New Roman" w:cs="Times New Roman"/>
                <w:bCs/>
                <w:sz w:val="24"/>
              </w:rPr>
              <w:t>308</w:t>
            </w:r>
            <w:r>
              <w:rPr>
                <w:rFonts w:ascii="Times New Roman" w:hAnsi="Times New Roman" w:cs="Times New Roman"/>
                <w:bCs/>
                <w:sz w:val="24"/>
              </w:rPr>
              <w:t>例*3个时间点=</w:t>
            </w:r>
            <w:r>
              <w:rPr>
                <w:rFonts w:hint="eastAsia" w:ascii="Times New Roman" w:hAnsi="Times New Roman" w:cs="Times New Roman"/>
                <w:bCs/>
                <w:sz w:val="24"/>
              </w:rPr>
              <w:t>924</w:t>
            </w:r>
            <w:r>
              <w:rPr>
                <w:rFonts w:ascii="Times New Roman" w:hAnsi="Times New Roman" w:cs="Times New Roman"/>
                <w:bCs/>
                <w:sz w:val="24"/>
              </w:rPr>
              <w:t>例</w:t>
            </w:r>
          </w:p>
        </w:tc>
        <w:tc>
          <w:tcPr>
            <w:tcW w:w="1560" w:type="dxa"/>
            <w:vMerge w:val="restart"/>
            <w:tcBorders>
              <w:top w:val="single" w:color="000000" w:sz="4" w:space="0"/>
              <w:left w:val="single" w:color="000000" w:sz="4" w:space="0"/>
              <w:right w:val="single" w:color="000000" w:sz="4" w:space="0"/>
            </w:tcBorders>
            <w:vAlign w:val="center"/>
          </w:tcPr>
          <w:p w14:paraId="1C33B691">
            <w:pPr>
              <w:widowControl/>
              <w:jc w:val="center"/>
              <w:textAlignment w:val="top"/>
              <w:rPr>
                <w:rFonts w:ascii="Times New Roman" w:hAnsi="Times New Roman" w:cs="Times New Roman"/>
                <w:color w:val="000000"/>
                <w:sz w:val="24"/>
              </w:rPr>
            </w:pPr>
            <w:r>
              <w:rPr>
                <w:rFonts w:hint="eastAsia" w:ascii="Times New Roman" w:hAnsi="Times New Roman" w:cs="Times New Roman"/>
                <w:color w:val="000000"/>
                <w:sz w:val="24"/>
              </w:rPr>
              <w:t>6</w:t>
            </w:r>
            <w:r>
              <w:rPr>
                <w:rFonts w:ascii="Times New Roman" w:hAnsi="Times New Roman" w:cs="Times New Roman"/>
                <w:color w:val="000000"/>
                <w:sz w:val="24"/>
              </w:rPr>
              <w:t>0000</w:t>
            </w:r>
          </w:p>
        </w:tc>
      </w:tr>
      <w:tr w14:paraId="3E9E1581">
        <w:trPr>
          <w:trHeight w:val="336" w:hRule="atLeast"/>
        </w:trPr>
        <w:tc>
          <w:tcPr>
            <w:tcW w:w="1027" w:type="dxa"/>
            <w:tcBorders>
              <w:top w:val="single" w:color="000000" w:sz="4" w:space="0"/>
              <w:left w:val="single" w:color="000000" w:sz="4" w:space="0"/>
              <w:bottom w:val="single" w:color="000000" w:sz="4" w:space="0"/>
              <w:right w:val="single" w:color="000000" w:sz="4" w:space="0"/>
            </w:tcBorders>
            <w:vAlign w:val="center"/>
          </w:tcPr>
          <w:p w14:paraId="31D483D4">
            <w:pPr>
              <w:widowControl/>
              <w:jc w:val="center"/>
              <w:textAlignment w:val="top"/>
              <w:rPr>
                <w:rFonts w:ascii="Times New Roman" w:hAnsi="Times New Roman" w:cs="Times New Roman"/>
                <w:color w:val="000000"/>
                <w:sz w:val="24"/>
              </w:rPr>
            </w:pPr>
            <w:r>
              <w:rPr>
                <w:rFonts w:ascii="Times New Roman" w:hAnsi="Times New Roman" w:cs="Times New Roman"/>
                <w:color w:val="000000"/>
                <w:kern w:val="0"/>
                <w:sz w:val="24"/>
                <w:lang w:bidi="ar"/>
              </w:rPr>
              <w:t>2</w:t>
            </w:r>
          </w:p>
        </w:tc>
        <w:tc>
          <w:tcPr>
            <w:tcW w:w="3050" w:type="dxa"/>
            <w:tcBorders>
              <w:top w:val="single" w:color="000000" w:sz="4" w:space="0"/>
              <w:left w:val="single" w:color="000000" w:sz="4" w:space="0"/>
              <w:bottom w:val="single" w:color="000000" w:sz="4" w:space="0"/>
              <w:right w:val="single" w:color="000000" w:sz="4" w:space="0"/>
            </w:tcBorders>
            <w:vAlign w:val="center"/>
          </w:tcPr>
          <w:p w14:paraId="40D22BBD">
            <w:pPr>
              <w:widowControl/>
              <w:jc w:val="center"/>
              <w:textAlignment w:val="top"/>
              <w:rPr>
                <w:rFonts w:ascii="Times New Roman" w:hAnsi="Times New Roman" w:cs="Times New Roman"/>
                <w:color w:val="000000"/>
                <w:kern w:val="0"/>
                <w:sz w:val="24"/>
                <w:lang w:bidi="ar"/>
              </w:rPr>
            </w:pPr>
            <w:r>
              <w:rPr>
                <w:rFonts w:ascii="Times New Roman" w:hAnsi="Times New Roman" w:cs="Times New Roman"/>
                <w:bCs/>
                <w:sz w:val="24"/>
              </w:rPr>
              <w:t>骨钙素（BGP）</w:t>
            </w:r>
          </w:p>
        </w:tc>
        <w:tc>
          <w:tcPr>
            <w:tcW w:w="2268" w:type="dxa"/>
            <w:tcBorders>
              <w:top w:val="single" w:color="000000" w:sz="4" w:space="0"/>
              <w:left w:val="single" w:color="000000" w:sz="4" w:space="0"/>
              <w:bottom w:val="single" w:color="000000" w:sz="4" w:space="0"/>
              <w:right w:val="single" w:color="000000" w:sz="4" w:space="0"/>
            </w:tcBorders>
            <w:vAlign w:val="center"/>
          </w:tcPr>
          <w:p w14:paraId="59E4D5B0">
            <w:pPr>
              <w:widowControl/>
              <w:jc w:val="center"/>
              <w:textAlignment w:val="top"/>
              <w:rPr>
                <w:rFonts w:ascii="Times New Roman" w:hAnsi="Times New Roman" w:cs="Times New Roman"/>
                <w:bCs/>
                <w:color w:val="000000"/>
                <w:sz w:val="24"/>
              </w:rPr>
            </w:pPr>
            <w:r>
              <w:rPr>
                <w:rFonts w:hint="eastAsia" w:ascii="Times New Roman" w:hAnsi="Times New Roman" w:cs="Times New Roman"/>
                <w:bCs/>
                <w:sz w:val="24"/>
              </w:rPr>
              <w:t>308</w:t>
            </w:r>
            <w:r>
              <w:rPr>
                <w:rFonts w:ascii="Times New Roman" w:hAnsi="Times New Roman" w:cs="Times New Roman"/>
                <w:bCs/>
                <w:sz w:val="24"/>
              </w:rPr>
              <w:t>例*3个时间点=</w:t>
            </w:r>
            <w:r>
              <w:rPr>
                <w:rFonts w:hint="eastAsia" w:ascii="Times New Roman" w:hAnsi="Times New Roman" w:cs="Times New Roman"/>
                <w:bCs/>
                <w:sz w:val="24"/>
              </w:rPr>
              <w:t>924</w:t>
            </w:r>
            <w:r>
              <w:rPr>
                <w:rFonts w:ascii="Times New Roman" w:hAnsi="Times New Roman" w:cs="Times New Roman"/>
                <w:bCs/>
                <w:sz w:val="24"/>
              </w:rPr>
              <w:t>例</w:t>
            </w:r>
          </w:p>
        </w:tc>
        <w:tc>
          <w:tcPr>
            <w:tcW w:w="1560" w:type="dxa"/>
            <w:vMerge w:val="continue"/>
            <w:tcBorders>
              <w:left w:val="single" w:color="000000" w:sz="4" w:space="0"/>
              <w:right w:val="single" w:color="000000" w:sz="4" w:space="0"/>
            </w:tcBorders>
            <w:vAlign w:val="center"/>
          </w:tcPr>
          <w:p w14:paraId="3AE6AD96">
            <w:pPr>
              <w:jc w:val="center"/>
              <w:textAlignment w:val="top"/>
              <w:rPr>
                <w:rFonts w:ascii="Times New Roman" w:hAnsi="Times New Roman" w:cs="Times New Roman"/>
                <w:color w:val="000000"/>
                <w:szCs w:val="21"/>
              </w:rPr>
            </w:pPr>
          </w:p>
        </w:tc>
      </w:tr>
      <w:tr w14:paraId="74D53C72">
        <w:trPr>
          <w:trHeight w:val="336" w:hRule="atLeast"/>
        </w:trPr>
        <w:tc>
          <w:tcPr>
            <w:tcW w:w="1027" w:type="dxa"/>
            <w:tcBorders>
              <w:top w:val="single" w:color="000000" w:sz="4" w:space="0"/>
              <w:left w:val="single" w:color="000000" w:sz="4" w:space="0"/>
              <w:bottom w:val="single" w:color="000000" w:sz="4" w:space="0"/>
              <w:right w:val="single" w:color="000000" w:sz="4" w:space="0"/>
            </w:tcBorders>
            <w:vAlign w:val="center"/>
          </w:tcPr>
          <w:p w14:paraId="51ABD0AD">
            <w:pPr>
              <w:widowControl/>
              <w:jc w:val="center"/>
              <w:textAlignment w:val="top"/>
              <w:rPr>
                <w:rFonts w:ascii="Times New Roman" w:hAnsi="Times New Roman" w:cs="Times New Roman"/>
                <w:color w:val="000000"/>
                <w:sz w:val="24"/>
              </w:rPr>
            </w:pPr>
            <w:r>
              <w:rPr>
                <w:rFonts w:ascii="Times New Roman" w:hAnsi="Times New Roman" w:cs="Times New Roman"/>
                <w:color w:val="000000"/>
                <w:kern w:val="0"/>
                <w:sz w:val="24"/>
                <w:lang w:bidi="ar"/>
              </w:rPr>
              <w:t>3</w:t>
            </w:r>
          </w:p>
        </w:tc>
        <w:tc>
          <w:tcPr>
            <w:tcW w:w="3050" w:type="dxa"/>
            <w:tcBorders>
              <w:top w:val="single" w:color="000000" w:sz="4" w:space="0"/>
              <w:left w:val="single" w:color="000000" w:sz="4" w:space="0"/>
              <w:bottom w:val="single" w:color="000000" w:sz="4" w:space="0"/>
              <w:right w:val="single" w:color="000000" w:sz="4" w:space="0"/>
            </w:tcBorders>
            <w:vAlign w:val="center"/>
          </w:tcPr>
          <w:p w14:paraId="47715C62">
            <w:pPr>
              <w:widowControl/>
              <w:jc w:val="center"/>
              <w:rPr>
                <w:rFonts w:ascii="Times New Roman" w:hAnsi="Times New Roman" w:cs="Times New Roman"/>
                <w:color w:val="000000"/>
                <w:kern w:val="0"/>
                <w:sz w:val="24"/>
                <w:lang w:bidi="ar"/>
              </w:rPr>
            </w:pPr>
            <w:r>
              <w:rPr>
                <w:rFonts w:ascii="Times New Roman" w:hAnsi="Times New Roman" w:cs="Times New Roman"/>
                <w:bCs/>
                <w:sz w:val="24"/>
              </w:rPr>
              <w:t>Ⅰ型胶原交联C-末端肽（CTX）</w:t>
            </w:r>
          </w:p>
        </w:tc>
        <w:tc>
          <w:tcPr>
            <w:tcW w:w="2268" w:type="dxa"/>
            <w:tcBorders>
              <w:top w:val="single" w:color="000000" w:sz="4" w:space="0"/>
              <w:left w:val="single" w:color="000000" w:sz="4" w:space="0"/>
              <w:bottom w:val="single" w:color="000000" w:sz="4" w:space="0"/>
              <w:right w:val="single" w:color="000000" w:sz="4" w:space="0"/>
            </w:tcBorders>
            <w:vAlign w:val="center"/>
          </w:tcPr>
          <w:p w14:paraId="62F1E5C7">
            <w:pPr>
              <w:widowControl/>
              <w:jc w:val="center"/>
              <w:textAlignment w:val="top"/>
              <w:rPr>
                <w:rFonts w:ascii="Times New Roman" w:hAnsi="Times New Roman" w:cs="Times New Roman"/>
                <w:bCs/>
                <w:color w:val="000000"/>
                <w:sz w:val="24"/>
              </w:rPr>
            </w:pPr>
            <w:r>
              <w:rPr>
                <w:rFonts w:hint="eastAsia" w:ascii="Times New Roman" w:hAnsi="Times New Roman" w:cs="Times New Roman"/>
                <w:bCs/>
                <w:sz w:val="24"/>
              </w:rPr>
              <w:t>308</w:t>
            </w:r>
            <w:r>
              <w:rPr>
                <w:rFonts w:ascii="Times New Roman" w:hAnsi="Times New Roman" w:cs="Times New Roman"/>
                <w:bCs/>
                <w:sz w:val="24"/>
              </w:rPr>
              <w:t>例*3个时间点=</w:t>
            </w:r>
            <w:r>
              <w:rPr>
                <w:rFonts w:hint="eastAsia" w:ascii="Times New Roman" w:hAnsi="Times New Roman" w:cs="Times New Roman"/>
                <w:bCs/>
                <w:sz w:val="24"/>
              </w:rPr>
              <w:t>924</w:t>
            </w:r>
            <w:r>
              <w:rPr>
                <w:rFonts w:ascii="Times New Roman" w:hAnsi="Times New Roman" w:cs="Times New Roman"/>
                <w:bCs/>
                <w:sz w:val="24"/>
              </w:rPr>
              <w:t>例</w:t>
            </w:r>
          </w:p>
        </w:tc>
        <w:tc>
          <w:tcPr>
            <w:tcW w:w="1560" w:type="dxa"/>
            <w:vMerge w:val="continue"/>
            <w:tcBorders>
              <w:left w:val="single" w:color="000000" w:sz="4" w:space="0"/>
              <w:bottom w:val="single" w:color="000000" w:sz="4" w:space="0"/>
              <w:right w:val="single" w:color="000000" w:sz="4" w:space="0"/>
            </w:tcBorders>
            <w:vAlign w:val="center"/>
          </w:tcPr>
          <w:p w14:paraId="7508FCC0">
            <w:pPr>
              <w:widowControl/>
              <w:jc w:val="center"/>
              <w:textAlignment w:val="top"/>
              <w:rPr>
                <w:rFonts w:ascii="Times New Roman" w:hAnsi="Times New Roman" w:cs="Times New Roman"/>
                <w:color w:val="000000"/>
                <w:szCs w:val="21"/>
              </w:rPr>
            </w:pPr>
          </w:p>
        </w:tc>
      </w:tr>
    </w:tbl>
    <w:p w14:paraId="3E678356">
      <w:pPr>
        <w:spacing w:line="360" w:lineRule="auto"/>
        <w:ind w:firstLine="480" w:firstLineChars="200"/>
        <w:rPr>
          <w:rFonts w:ascii="Times New Roman" w:hAnsi="Times New Roman" w:eastAsia="宋体" w:cs="Times New Roman"/>
          <w:sz w:val="24"/>
        </w:rPr>
      </w:pPr>
    </w:p>
    <w:p w14:paraId="6A2B89FE">
      <w:pPr>
        <w:spacing w:line="360" w:lineRule="auto"/>
        <w:ind w:firstLine="480" w:firstLineChars="200"/>
        <w:rPr>
          <w:rFonts w:ascii="Times New Roman" w:hAnsi="Times New Roman" w:eastAsia="宋体" w:cs="Times New Roman"/>
          <w:b/>
          <w:bCs/>
          <w:sz w:val="24"/>
        </w:rPr>
      </w:pPr>
      <w:r>
        <w:rPr>
          <w:rFonts w:hint="eastAsia" w:ascii="Times New Roman" w:hAnsi="Times New Roman" w:eastAsia="宋体" w:cs="Times New Roman"/>
          <w:b/>
          <w:bCs/>
          <w:sz w:val="24"/>
        </w:rPr>
        <w:t>二、检测服务要求</w:t>
      </w:r>
    </w:p>
    <w:p w14:paraId="3A3FBAA8">
      <w:pPr>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1.</w:t>
      </w:r>
      <w:r>
        <w:rPr>
          <w:rFonts w:hint="eastAsia" w:ascii="Times New Roman" w:hAnsi="Times New Roman" w:eastAsia="宋体" w:cs="Times New Roman"/>
          <w:sz w:val="24"/>
        </w:rPr>
        <w:t>提供临床样本科研所需</w:t>
      </w:r>
      <w:r>
        <w:rPr>
          <w:rFonts w:ascii="Times New Roman" w:hAnsi="Times New Roman" w:eastAsia="宋体" w:cs="Times New Roman"/>
          <w:sz w:val="24"/>
        </w:rPr>
        <w:t>COMP</w:t>
      </w:r>
      <w:r>
        <w:rPr>
          <w:rFonts w:hint="eastAsia" w:ascii="Times New Roman" w:hAnsi="Times New Roman" w:eastAsia="宋体" w:cs="Times New Roman"/>
          <w:sz w:val="24"/>
        </w:rPr>
        <w:t>、</w:t>
      </w:r>
      <w:r>
        <w:rPr>
          <w:rFonts w:ascii="Times New Roman" w:hAnsi="Times New Roman" w:eastAsia="宋体" w:cs="Times New Roman"/>
          <w:sz w:val="24"/>
        </w:rPr>
        <w:t>BGP</w:t>
      </w:r>
      <w:r>
        <w:rPr>
          <w:rFonts w:hint="eastAsia" w:ascii="Times New Roman" w:hAnsi="Times New Roman" w:eastAsia="宋体" w:cs="Times New Roman"/>
          <w:sz w:val="24"/>
        </w:rPr>
        <w:t>、</w:t>
      </w:r>
      <w:r>
        <w:rPr>
          <w:rFonts w:ascii="Times New Roman" w:hAnsi="Times New Roman" w:eastAsia="宋体" w:cs="Times New Roman"/>
          <w:sz w:val="24"/>
        </w:rPr>
        <w:t>CTX</w:t>
      </w:r>
      <w:r>
        <w:rPr>
          <w:rFonts w:hint="eastAsia" w:ascii="Times New Roman" w:hAnsi="Times New Roman" w:eastAsia="宋体" w:cs="Times New Roman"/>
          <w:sz w:val="24"/>
        </w:rPr>
        <w:t>三项生化指标检测服务，含检测实施、试剂盒供应、结果出具、数据反馈等全流程服务。</w:t>
      </w:r>
    </w:p>
    <w:p w14:paraId="390F3C77">
      <w:pPr>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2</w:t>
      </w:r>
      <w:r>
        <w:rPr>
          <w:rFonts w:ascii="Times New Roman" w:hAnsi="Times New Roman" w:eastAsia="宋体" w:cs="Times New Roman"/>
          <w:sz w:val="24"/>
        </w:rPr>
        <w:t>.</w:t>
      </w:r>
      <w:r>
        <w:rPr>
          <w:rFonts w:hint="eastAsia" w:ascii="Times New Roman" w:hAnsi="Times New Roman" w:eastAsia="宋体" w:cs="Times New Roman"/>
          <w:sz w:val="24"/>
        </w:rPr>
        <w:t>检测结果准确规范，按科研需求及时出具正式PDF版检测报告。</w:t>
      </w:r>
    </w:p>
    <w:p w14:paraId="4E0590FA">
      <w:pPr>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3</w:t>
      </w:r>
      <w:r>
        <w:rPr>
          <w:rFonts w:ascii="Times New Roman" w:hAnsi="Times New Roman" w:eastAsia="宋体" w:cs="Times New Roman"/>
          <w:sz w:val="24"/>
        </w:rPr>
        <w:t>.</w:t>
      </w:r>
      <w:r>
        <w:rPr>
          <w:rFonts w:hint="eastAsia" w:ascii="Times New Roman" w:hAnsi="Times New Roman" w:eastAsia="宋体" w:cs="Times New Roman"/>
          <w:sz w:val="24"/>
        </w:rPr>
        <w:t>所用试剂盒需符合行业标准，质量合格，确保检测稳定性。</w:t>
      </w:r>
    </w:p>
    <w:p w14:paraId="6CC67279">
      <w:pPr>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4</w:t>
      </w:r>
      <w:r>
        <w:rPr>
          <w:rFonts w:ascii="Times New Roman" w:hAnsi="Times New Roman" w:eastAsia="宋体" w:cs="Times New Roman"/>
          <w:sz w:val="24"/>
        </w:rPr>
        <w:t>.</w:t>
      </w:r>
      <w:r>
        <w:rPr>
          <w:rFonts w:hint="eastAsia" w:ascii="Times New Roman" w:hAnsi="Times New Roman" w:eastAsia="宋体" w:cs="Times New Roman"/>
          <w:sz w:val="24"/>
        </w:rPr>
        <w:t>按科研进度配合完成样本接收、检测、数据交付等工作。</w:t>
      </w:r>
    </w:p>
    <w:p w14:paraId="2F821129">
      <w:pPr>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5.每批次样本检测完成后于下一批次收样时样本返还至福建中医药大学骨伤学院。</w:t>
      </w:r>
    </w:p>
    <w:p w14:paraId="3B777DB7">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宋体-简">
    <w:panose1 w:val="02010800040101010101"/>
    <w:charset w:val="86"/>
    <w:family w:val="auto"/>
    <w:pitch w:val="default"/>
    <w:sig w:usb0="00000001" w:usb1="080F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794ACE"/>
    <w:rsid w:val="7D794A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Office_12.1.26026.26026_F1E327BC-269C-435d-A152-05C5408002CA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2026-07-03T16:57:00Z</dcterms:created>
  <dc:creator>-</dc:creator>
  <cp:lastModifiedBy>-</cp:lastModifiedBy>
  <dcterms:modified xsi:type="dcterms:W3CDTF">2026-07-03T16:58:24Z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2052-12.1.26026.26026</vt:lpwstr>
  </property>
  <property fmtid="{D5CDD505-2E9C-101B-9397-08002B2CF9AE}" pid="3" name="ICV">
    <vt:lpwstr>B6C6AD3578365EE78F79476A7FE2DD34_41</vt:lpwstr>
  </property>
</Properties>
</file>